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6" w:rsidRPr="00576862" w:rsidRDefault="00C459D6" w:rsidP="00C459D6">
      <w:pPr>
        <w:spacing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  <w:r w:rsidRPr="00576862">
        <w:rPr>
          <w:rFonts w:ascii="Times New Roman" w:eastAsia="Times New Roman" w:hAnsi="Times New Roman" w:cs="Times New Roman"/>
          <w:noProof/>
          <w:sz w:val="29"/>
          <w:szCs w:val="24"/>
        </w:rPr>
        <w:drawing>
          <wp:anchor distT="0" distB="0" distL="114300" distR="114300" simplePos="0" relativeHeight="251659264" behindDoc="0" locked="0" layoutInCell="1" allowOverlap="1" wp14:anchorId="6FE9449C" wp14:editId="62FA14B9">
            <wp:simplePos x="0" y="0"/>
            <wp:positionH relativeFrom="column">
              <wp:posOffset>3091815</wp:posOffset>
            </wp:positionH>
            <wp:positionV relativeFrom="paragraph">
              <wp:posOffset>47625</wp:posOffset>
            </wp:positionV>
            <wp:extent cx="504825" cy="647700"/>
            <wp:effectExtent l="0" t="0" r="9525" b="0"/>
            <wp:wrapSquare wrapText="bothSides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9"/>
          <w:szCs w:val="24"/>
        </w:rPr>
        <w:br w:type="textWrapping" w:clear="all"/>
      </w:r>
    </w:p>
    <w:p w:rsidR="00C459D6" w:rsidRDefault="00C459D6" w:rsidP="00C4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C459D6" w:rsidRPr="00576862" w:rsidRDefault="00C459D6" w:rsidP="00C4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b/>
          <w:bCs/>
          <w:sz w:val="28"/>
          <w:szCs w:val="28"/>
        </w:rPr>
        <w:t>ПУТИЛОВСКО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 СЕЛЬСКОГО ПОСЕЛЕНИЯ</w:t>
      </w:r>
      <w:r w:rsidRPr="005768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459D6" w:rsidRPr="00576862" w:rsidRDefault="00C459D6" w:rsidP="00C4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b/>
          <w:bCs/>
          <w:sz w:val="28"/>
          <w:szCs w:val="28"/>
        </w:rPr>
        <w:t>КИРОВСКОГО МУНИЦИПАЛЬНОГО РАЙОНА</w:t>
      </w:r>
    </w:p>
    <w:p w:rsidR="00C459D6" w:rsidRPr="00576862" w:rsidRDefault="00C459D6" w:rsidP="00C4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:rsidR="00C459D6" w:rsidRPr="00576862" w:rsidRDefault="00C459D6" w:rsidP="00C459D6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C459D6" w:rsidRPr="00576862" w:rsidRDefault="00C459D6" w:rsidP="00C459D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576862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576862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576862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 </w:t>
      </w:r>
    </w:p>
    <w:p w:rsidR="00C459D6" w:rsidRPr="00576862" w:rsidRDefault="00C459D6" w:rsidP="00C4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9D6" w:rsidRPr="00576862" w:rsidRDefault="00C459D6" w:rsidP="00C4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862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5817C1">
        <w:rPr>
          <w:rFonts w:ascii="Times New Roman" w:eastAsia="Times New Roman" w:hAnsi="Times New Roman" w:cs="Times New Roman"/>
          <w:b/>
          <w:sz w:val="24"/>
          <w:szCs w:val="24"/>
        </w:rPr>
        <w:t>19 марта 2026</w:t>
      </w:r>
      <w:r w:rsidRPr="0057686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5817C1">
        <w:rPr>
          <w:rFonts w:ascii="Times New Roman" w:eastAsia="Times New Roman" w:hAnsi="Times New Roman" w:cs="Times New Roman"/>
          <w:b/>
          <w:sz w:val="24"/>
          <w:szCs w:val="24"/>
        </w:rPr>
        <w:t>66</w:t>
      </w:r>
    </w:p>
    <w:p w:rsidR="00C459D6" w:rsidRPr="00576862" w:rsidRDefault="00C459D6" w:rsidP="00C45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59D6" w:rsidRPr="00576862" w:rsidRDefault="00C459D6" w:rsidP="00C4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6862">
        <w:rPr>
          <w:rFonts w:ascii="Times New Roman" w:eastAsia="Times New Roman" w:hAnsi="Times New Roman" w:cs="Times New Roman"/>
          <w:b/>
          <w:sz w:val="24"/>
          <w:szCs w:val="28"/>
        </w:rPr>
        <w:t xml:space="preserve">Об утверждении Административного регламента </w:t>
      </w:r>
      <w:r w:rsidRPr="005768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предоставлению </w:t>
      </w:r>
    </w:p>
    <w:p w:rsidR="00C459D6" w:rsidRPr="00576862" w:rsidRDefault="00C459D6" w:rsidP="00C45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6862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576862">
        <w:rPr>
          <w:rFonts w:ascii="Times New Roman" w:eastAsia="Calibri" w:hAnsi="Times New Roman" w:cs="Times New Roman"/>
          <w:b/>
          <w:bCs/>
          <w:sz w:val="24"/>
          <w:szCs w:val="24"/>
        </w:rPr>
        <w:t>формление согласия (отказа) на обмен жил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ыми помещениями, предоставленными</w:t>
      </w:r>
      <w:r w:rsidRPr="005768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договорам социального найма»</w:t>
      </w:r>
      <w:r w:rsidRPr="00576862">
        <w:rPr>
          <w:rFonts w:eastAsiaTheme="minorHAnsi"/>
          <w:lang w:eastAsia="en-US"/>
        </w:rPr>
        <w:t xml:space="preserve"> </w:t>
      </w:r>
      <w:r w:rsidRPr="005768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Путиловского сельского поселения </w:t>
      </w:r>
      <w:r w:rsidRPr="00576862">
        <w:rPr>
          <w:rFonts w:ascii="Times New Roman" w:eastAsia="Calibri" w:hAnsi="Times New Roman" w:cs="Times New Roman"/>
          <w:b/>
          <w:bCs/>
          <w:sz w:val="24"/>
          <w:szCs w:val="24"/>
        </w:rPr>
        <w:t>Кировского муниципального  района Ленинградской области</w:t>
      </w:r>
    </w:p>
    <w:p w:rsidR="00C459D6" w:rsidRPr="00576862" w:rsidRDefault="00C459D6" w:rsidP="00C459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459D6" w:rsidRDefault="00C459D6" w:rsidP="00C459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9D6" w:rsidRPr="00576862" w:rsidRDefault="00C459D6" w:rsidP="00C459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686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862">
        <w:rPr>
          <w:rFonts w:ascii="Times New Roman" w:eastAsia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862">
        <w:rPr>
          <w:rFonts w:ascii="Times New Roman" w:eastAsia="Times New Roman" w:hAnsi="Times New Roman" w:cs="Times New Roman"/>
          <w:sz w:val="28"/>
          <w:szCs w:val="28"/>
        </w:rPr>
        <w:t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59D6">
        <w:rPr>
          <w:rFonts w:ascii="Times New Roman" w:eastAsia="Times New Roman" w:hAnsi="Times New Roman" w:cs="Times New Roman"/>
          <w:sz w:val="28"/>
          <w:szCs w:val="28"/>
        </w:rPr>
        <w:t>во исполнение Постановления Правительства РФ от 28.04.2025</w:t>
      </w:r>
      <w:proofErr w:type="gramEnd"/>
      <w:r w:rsidRPr="00C459D6">
        <w:rPr>
          <w:rFonts w:ascii="Times New Roman" w:eastAsia="Times New Roman" w:hAnsi="Times New Roman" w:cs="Times New Roman"/>
          <w:sz w:val="28"/>
          <w:szCs w:val="28"/>
        </w:rPr>
        <w:t xml:space="preserve"> N 569 "О внесении изменений в некоторые акты Правительства Российской Федерации"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</w:t>
      </w:r>
      <w:r w:rsidRPr="009A61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459D6" w:rsidRPr="00576862" w:rsidRDefault="00C459D6" w:rsidP="00C459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sz w:val="28"/>
          <w:szCs w:val="28"/>
        </w:rPr>
        <w:t xml:space="preserve">         1. Утвердить административный регламент по предоставлению муниципальной услуги «Оформление согласия (отказа) на обмен жил</w:t>
      </w:r>
      <w:r>
        <w:rPr>
          <w:rFonts w:ascii="Times New Roman" w:eastAsia="Times New Roman" w:hAnsi="Times New Roman" w:cs="Times New Roman"/>
          <w:sz w:val="28"/>
          <w:szCs w:val="28"/>
        </w:rPr>
        <w:t>ыми помещениями, предоставленными</w:t>
      </w:r>
      <w:r w:rsidRPr="00576862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социального найма» </w:t>
      </w:r>
      <w:r w:rsidRPr="009A61F2">
        <w:rPr>
          <w:rFonts w:ascii="Times New Roman" w:eastAsia="Times New Roman" w:hAnsi="Times New Roman" w:cs="Times New Roman"/>
          <w:sz w:val="28"/>
          <w:szCs w:val="28"/>
        </w:rPr>
        <w:t>на территории  Путиловского сельского поселения Кировского муниципального  района Ленинградской области</w:t>
      </w:r>
      <w:r w:rsidRPr="00576862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C459D6" w:rsidRPr="00576862" w:rsidRDefault="00C459D6" w:rsidP="00C459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sz w:val="28"/>
          <w:szCs w:val="28"/>
        </w:rPr>
        <w:tab/>
        <w:t>2. Считать утратившими силу постановление администрации Пути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ловского сельского поселения </w:t>
      </w:r>
      <w:r w:rsidRPr="009A61F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817C1">
        <w:rPr>
          <w:rFonts w:ascii="Times New Roman" w:eastAsia="Times New Roman" w:hAnsi="Times New Roman" w:cs="Times New Roman"/>
          <w:sz w:val="28"/>
          <w:szCs w:val="28"/>
        </w:rPr>
        <w:t>21.04.2025 года № 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A61F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регламента по предоставлению </w:t>
      </w:r>
      <w:r w:rsidRPr="009A61F2">
        <w:rPr>
          <w:rFonts w:ascii="Times New Roman" w:eastAsia="Times New Roman" w:hAnsi="Times New Roman" w:cs="Times New Roman"/>
          <w:sz w:val="28"/>
          <w:szCs w:val="28"/>
        </w:rPr>
        <w:t>муниципальной услуги «Оформление согласия (отказа) на обмен жилыми помещениями, предоставленными по договорам со</w:t>
      </w:r>
      <w:r w:rsidR="005817C1">
        <w:rPr>
          <w:rFonts w:ascii="Times New Roman" w:eastAsia="Times New Roman" w:hAnsi="Times New Roman" w:cs="Times New Roman"/>
          <w:sz w:val="28"/>
          <w:szCs w:val="28"/>
        </w:rPr>
        <w:t xml:space="preserve">циального найма»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Путиловского сельского поселения</w:t>
      </w:r>
      <w:r w:rsidR="0058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61F2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459D6" w:rsidRPr="00576862" w:rsidRDefault="00C459D6" w:rsidP="00C459D6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</w:t>
      </w:r>
      <w:r w:rsidRPr="00576862">
        <w:rPr>
          <w:rFonts w:ascii="Times New Roman" w:eastAsia="Times New Roman" w:hAnsi="Times New Roman" w:cs="Times New Roman"/>
          <w:bCs/>
          <w:sz w:val="28"/>
          <w:szCs w:val="28"/>
        </w:rPr>
        <w:tab/>
        <w:t>Постановление подлежит официальному опубликованию в газете «Ладога» и размещению в сети «Интернет» на официальном сайте администрации по адресу http: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//putilovo-</w:t>
      </w:r>
      <w:r w:rsidRPr="00576862">
        <w:rPr>
          <w:rFonts w:ascii="Times New Roman" w:eastAsia="Times New Roman" w:hAnsi="Times New Roman" w:cs="Times New Roman"/>
          <w:bCs/>
          <w:sz w:val="28"/>
          <w:szCs w:val="28"/>
        </w:rPr>
        <w:t xml:space="preserve">lenobl.ru.  </w:t>
      </w:r>
    </w:p>
    <w:p w:rsidR="00C459D6" w:rsidRPr="00576862" w:rsidRDefault="00C459D6" w:rsidP="00C459D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576862">
        <w:rPr>
          <w:rFonts w:ascii="Times New Roman" w:eastAsia="Times New Roman" w:hAnsi="Times New Roman" w:cs="Times New Roman"/>
          <w:bCs/>
          <w:sz w:val="28"/>
          <w:szCs w:val="28"/>
        </w:rPr>
        <w:tab/>
        <w:t>Постановление вступает в силу после его официального опубликования (обнародования).</w:t>
      </w:r>
    </w:p>
    <w:p w:rsidR="00C459D6" w:rsidRPr="00576862" w:rsidRDefault="00C459D6" w:rsidP="00C459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9D6" w:rsidRPr="00576862" w:rsidRDefault="00C459D6" w:rsidP="00C459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9D6" w:rsidRPr="00576862" w:rsidRDefault="00C459D6" w:rsidP="00C459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76862">
        <w:rPr>
          <w:rFonts w:ascii="Times New Roman" w:eastAsia="Times New Roman" w:hAnsi="Times New Roman" w:cs="Times New Roman"/>
          <w:sz w:val="28"/>
          <w:szCs w:val="28"/>
        </w:rPr>
        <w:t xml:space="preserve"> Н.А. Пранскунас                          </w:t>
      </w:r>
    </w:p>
    <w:p w:rsidR="00C459D6" w:rsidRPr="00576862" w:rsidRDefault="00C459D6" w:rsidP="00C459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7C1" w:rsidRDefault="005817C1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7C1" w:rsidRDefault="005817C1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7C1" w:rsidRDefault="005817C1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7C1" w:rsidRDefault="005817C1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7C1" w:rsidRDefault="005817C1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7C1" w:rsidRDefault="005817C1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59D6" w:rsidRPr="00576862" w:rsidRDefault="00C459D6" w:rsidP="00C459D6">
      <w:pPr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576862">
        <w:rPr>
          <w:rFonts w:ascii="Times New Roman" w:eastAsia="Times New Roman" w:hAnsi="Times New Roman" w:cs="Times New Roman"/>
          <w:sz w:val="20"/>
          <w:szCs w:val="20"/>
        </w:rPr>
        <w:t xml:space="preserve">Разослано: дело, прокуратура, </w:t>
      </w:r>
      <w:proofErr w:type="spellStart"/>
      <w:r w:rsidRPr="00576862">
        <w:rPr>
          <w:rFonts w:ascii="Times New Roman" w:eastAsia="Times New Roman" w:hAnsi="Times New Roman" w:cs="Times New Roman"/>
          <w:sz w:val="20"/>
          <w:szCs w:val="20"/>
        </w:rPr>
        <w:t>оф</w:t>
      </w:r>
      <w:proofErr w:type="gramStart"/>
      <w:r w:rsidRPr="00576862">
        <w:rPr>
          <w:rFonts w:ascii="Times New Roman" w:eastAsia="Times New Roman" w:hAnsi="Times New Roman" w:cs="Times New Roman"/>
          <w:sz w:val="20"/>
          <w:szCs w:val="20"/>
        </w:rPr>
        <w:t>.с</w:t>
      </w:r>
      <w:proofErr w:type="gramEnd"/>
      <w:r w:rsidRPr="00576862">
        <w:rPr>
          <w:rFonts w:ascii="Times New Roman" w:eastAsia="Times New Roman" w:hAnsi="Times New Roman" w:cs="Times New Roman"/>
          <w:sz w:val="20"/>
          <w:szCs w:val="20"/>
        </w:rPr>
        <w:t>айт</w:t>
      </w:r>
      <w:proofErr w:type="spellEnd"/>
      <w:r w:rsidRPr="00576862">
        <w:rPr>
          <w:rFonts w:ascii="Times New Roman" w:eastAsia="Times New Roman" w:hAnsi="Times New Roman" w:cs="Times New Roman"/>
          <w:sz w:val="20"/>
          <w:szCs w:val="20"/>
        </w:rPr>
        <w:t>, «Ладога»</w:t>
      </w:r>
    </w:p>
    <w:p w:rsidR="00C459D6" w:rsidRDefault="00C459D6" w:rsidP="00C459D6">
      <w:pPr>
        <w:pStyle w:val="ConsPlusTitle"/>
        <w:tabs>
          <w:tab w:val="left" w:pos="3585"/>
        </w:tabs>
        <w:rPr>
          <w:sz w:val="28"/>
          <w:szCs w:val="28"/>
          <w:highlight w:val="yellow"/>
        </w:rPr>
      </w:pPr>
    </w:p>
    <w:p w:rsidR="00C459D6" w:rsidRDefault="00C459D6">
      <w:pPr>
        <w:pStyle w:val="ConsPlusTitle"/>
        <w:jc w:val="right"/>
        <w:rPr>
          <w:sz w:val="28"/>
          <w:szCs w:val="28"/>
          <w:highlight w:val="yellow"/>
        </w:rPr>
      </w:pPr>
    </w:p>
    <w:p w:rsidR="005817C1" w:rsidRPr="005817C1" w:rsidRDefault="005817C1" w:rsidP="005817C1">
      <w:pPr>
        <w:pStyle w:val="ConsPlusTitle"/>
        <w:jc w:val="right"/>
        <w:rPr>
          <w:b w:val="0"/>
        </w:rPr>
      </w:pPr>
      <w:r w:rsidRPr="005817C1">
        <w:rPr>
          <w:b w:val="0"/>
        </w:rPr>
        <w:lastRenderedPageBreak/>
        <w:t>Утвержден</w:t>
      </w:r>
    </w:p>
    <w:p w:rsidR="005817C1" w:rsidRPr="005817C1" w:rsidRDefault="005817C1" w:rsidP="005817C1">
      <w:pPr>
        <w:pStyle w:val="ConsPlusTitle"/>
        <w:jc w:val="right"/>
        <w:rPr>
          <w:b w:val="0"/>
        </w:rPr>
      </w:pPr>
      <w:r w:rsidRPr="005817C1">
        <w:rPr>
          <w:b w:val="0"/>
        </w:rPr>
        <w:t xml:space="preserve">  постановлением администрации </w:t>
      </w:r>
    </w:p>
    <w:p w:rsidR="005817C1" w:rsidRPr="005817C1" w:rsidRDefault="005817C1" w:rsidP="005817C1">
      <w:pPr>
        <w:pStyle w:val="ConsPlusTitle"/>
        <w:jc w:val="right"/>
        <w:rPr>
          <w:b w:val="0"/>
        </w:rPr>
      </w:pPr>
      <w:r w:rsidRPr="005817C1">
        <w:rPr>
          <w:b w:val="0"/>
        </w:rPr>
        <w:t xml:space="preserve">Путиловского сельского поселения </w:t>
      </w:r>
    </w:p>
    <w:p w:rsidR="005817C1" w:rsidRPr="005817C1" w:rsidRDefault="005817C1" w:rsidP="005817C1">
      <w:pPr>
        <w:pStyle w:val="ConsPlusTitle"/>
        <w:jc w:val="right"/>
        <w:rPr>
          <w:b w:val="0"/>
        </w:rPr>
      </w:pPr>
      <w:r w:rsidRPr="005817C1">
        <w:rPr>
          <w:b w:val="0"/>
        </w:rPr>
        <w:t xml:space="preserve">Кировского муниципального района </w:t>
      </w:r>
    </w:p>
    <w:p w:rsidR="005817C1" w:rsidRPr="005817C1" w:rsidRDefault="005817C1" w:rsidP="005817C1">
      <w:pPr>
        <w:pStyle w:val="ConsPlusTitle"/>
        <w:jc w:val="right"/>
        <w:rPr>
          <w:b w:val="0"/>
        </w:rPr>
      </w:pPr>
      <w:r w:rsidRPr="005817C1">
        <w:rPr>
          <w:b w:val="0"/>
        </w:rPr>
        <w:t xml:space="preserve">Ленинградской области </w:t>
      </w:r>
    </w:p>
    <w:p w:rsidR="005817C1" w:rsidRPr="005817C1" w:rsidRDefault="005817C1" w:rsidP="005817C1">
      <w:pPr>
        <w:pStyle w:val="ConsPlusTitle"/>
        <w:jc w:val="right"/>
        <w:rPr>
          <w:b w:val="0"/>
        </w:rPr>
      </w:pPr>
      <w:r w:rsidRPr="005817C1">
        <w:rPr>
          <w:b w:val="0"/>
        </w:rPr>
        <w:t xml:space="preserve">  От </w:t>
      </w:r>
      <w:r>
        <w:rPr>
          <w:b w:val="0"/>
        </w:rPr>
        <w:t>19 марта 2026 г. № 66</w:t>
      </w:r>
    </w:p>
    <w:p w:rsidR="00C459D6" w:rsidRPr="005817C1" w:rsidRDefault="005817C1" w:rsidP="005817C1">
      <w:pPr>
        <w:pStyle w:val="ConsPlusTitle"/>
        <w:jc w:val="right"/>
        <w:rPr>
          <w:b w:val="0"/>
          <w:highlight w:val="yellow"/>
        </w:rPr>
      </w:pPr>
      <w:r w:rsidRPr="005817C1">
        <w:rPr>
          <w:b w:val="0"/>
        </w:rPr>
        <w:t>( Приложение)</w:t>
      </w:r>
    </w:p>
    <w:p w:rsidR="00C459D6" w:rsidRDefault="00C459D6">
      <w:pPr>
        <w:pStyle w:val="ConsPlusTitle"/>
        <w:jc w:val="right"/>
        <w:rPr>
          <w:sz w:val="28"/>
          <w:szCs w:val="28"/>
          <w:highlight w:val="yellow"/>
        </w:rPr>
      </w:pPr>
    </w:p>
    <w:p w:rsidR="005817C1" w:rsidRPr="005817C1" w:rsidRDefault="005817C1" w:rsidP="005817C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7C1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E65EC5" w:rsidRPr="005817C1" w:rsidRDefault="00926C8B" w:rsidP="005817C1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7C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  <w:r w:rsidRPr="005817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Pr="005817C1">
        <w:rPr>
          <w:rFonts w:ascii="Times New Roman" w:hAnsi="Times New Roman" w:cs="Times New Roman"/>
          <w:b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 w:rsidRPr="005817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5817C1" w:rsidRPr="005817C1" w:rsidRDefault="005817C1" w:rsidP="005817C1">
      <w:pPr>
        <w:pStyle w:val="ConsPlusTitle"/>
        <w:jc w:val="center"/>
        <w:rPr>
          <w:b w:val="0"/>
        </w:rPr>
      </w:pPr>
      <w:bookmarkStart w:id="0" w:name="Par1"/>
      <w:bookmarkEnd w:id="0"/>
      <w:r w:rsidRPr="005817C1">
        <w:rPr>
          <w:b w:val="0"/>
        </w:rPr>
        <w:t>(Сокращенное название – Оформление согласия (отказа) на обмен жилыми помещениями, предоставленными по договорам социального найма)</w:t>
      </w:r>
    </w:p>
    <w:p w:rsidR="00E65EC5" w:rsidRPr="005817C1" w:rsidRDefault="005817C1" w:rsidP="005817C1">
      <w:pPr>
        <w:pStyle w:val="ConsPlusTitle"/>
        <w:widowControl/>
        <w:jc w:val="center"/>
        <w:rPr>
          <w:b w:val="0"/>
        </w:rPr>
      </w:pPr>
      <w:r w:rsidRPr="005817C1">
        <w:rPr>
          <w:b w:val="0"/>
        </w:rPr>
        <w:t>(далее – административный регламент, муниципальная услуга)</w:t>
      </w:r>
    </w:p>
    <w:p w:rsidR="00E65EC5" w:rsidRDefault="00926C8B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1" w:name="Par43"/>
      <w:bookmarkEnd w:id="1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1.1. Предмет регулирования.</w:t>
      </w:r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1.2. Круг заявителей.</w:t>
      </w:r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Муниципальная услуга предоставляется: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1.2.1. </w:t>
      </w:r>
      <w:r>
        <w:rPr>
          <w:rFonts w:ascii="Times New Roman" w:hAnsi="Times New Roman" w:cs="Times New Roman"/>
          <w:sz w:val="28"/>
          <w:szCs w:val="28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E65EC5" w:rsidRDefault="00926C8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E65EC5" w:rsidRDefault="00926C8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E65EC5" w:rsidRPr="005817C1" w:rsidRDefault="00926C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C1">
        <w:rPr>
          <w:rFonts w:ascii="Times New Roman" w:eastAsia="Calibri" w:hAnsi="Times New Roman" w:cs="Times New Roman"/>
          <w:sz w:val="28"/>
          <w:szCs w:val="28"/>
        </w:rPr>
        <w:t>- законные представители (родители, усыновители, попечители) несовершеннолетних в возрасте от 14 до 18 лет;</w:t>
      </w:r>
    </w:p>
    <w:p w:rsidR="00E65EC5" w:rsidRDefault="00926C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C1">
        <w:rPr>
          <w:rFonts w:ascii="Times New Roman" w:eastAsia="Calibri" w:hAnsi="Times New Roman" w:cs="Times New Roman"/>
          <w:sz w:val="28"/>
          <w:szCs w:val="28"/>
        </w:rPr>
        <w:t>- попечители граждан, ограниченных судом в дееспособности;</w:t>
      </w:r>
    </w:p>
    <w:p w:rsidR="00E65EC5" w:rsidRDefault="00926C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E65EC5" w:rsidRDefault="00926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E65EC5" w:rsidRPr="005817C1" w:rsidRDefault="00926C8B" w:rsidP="005817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7C1">
        <w:rPr>
          <w:rFonts w:ascii="Times New Roman" w:hAnsi="Times New Roman" w:cs="Times New Roman"/>
          <w:sz w:val="28"/>
          <w:szCs w:val="28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5817C1">
          <w:rPr>
            <w:rFonts w:ascii="Times New Roman" w:hAnsi="Times New Roman" w:cs="Times New Roman"/>
            <w:sz w:val="28"/>
            <w:szCs w:val="28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5817C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5817C1" w:rsidRDefault="005817C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65EC5" w:rsidRDefault="00926C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 муниципальной услуги.</w:t>
      </w:r>
    </w:p>
    <w:p w:rsidR="00E65EC5" w:rsidRDefault="00E65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65EC5" w:rsidRDefault="00926C8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2.2. Наименование органа, предоставляющего муниципальную услугу.</w:t>
      </w:r>
    </w:p>
    <w:p w:rsidR="00E65EC5" w:rsidRDefault="00926C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Муниципальную услугу предоставляет: администрация </w:t>
      </w:r>
      <w:r w:rsidR="00953178">
        <w:rPr>
          <w:rFonts w:ascii="Times New Roman" w:eastAsia="Calibri" w:hAnsi="Times New Roman" w:cs="Times New Roman"/>
          <w:sz w:val="28"/>
          <w:szCs w:val="28"/>
        </w:rPr>
        <w:t xml:space="preserve">Путиловского сельского поселения Кировского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</w:rPr>
        <w:t>Ленинградской области.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 является:</w:t>
      </w:r>
    </w:p>
    <w:p w:rsidR="00E65EC5" w:rsidRDefault="00926C8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о даче согласии на обмен жилыми помещениями, предоставленными по договорам социального найма;</w:t>
      </w:r>
    </w:p>
    <w:p w:rsidR="00E65EC5" w:rsidRPr="00953178" w:rsidRDefault="00926C8B" w:rsidP="0095317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E65EC5" w:rsidRDefault="00926C8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2.3.1 Результат предоставления муниципальной услуги может быть получен заявителем посредством:</w:t>
      </w:r>
    </w:p>
    <w:p w:rsidR="00E65EC5" w:rsidRPr="00953178" w:rsidRDefault="00926C8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178">
        <w:rPr>
          <w:rFonts w:ascii="TimesNewRomanPSMT" w:eastAsia="Calibri" w:hAnsi="TimesNewRomanPSMT" w:cs="TimesNewRomanPSMT"/>
          <w:sz w:val="28"/>
          <w:szCs w:val="28"/>
        </w:rPr>
        <w:t>а) личной явки:</w:t>
      </w:r>
    </w:p>
    <w:p w:rsidR="00E65EC5" w:rsidRPr="00953178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8">
        <w:rPr>
          <w:rFonts w:ascii="Times New Roman" w:eastAsia="Calibri" w:hAnsi="Times New Roman" w:cs="Times New Roman"/>
          <w:sz w:val="28"/>
          <w:szCs w:val="28"/>
        </w:rPr>
        <w:t>- МФЦ;</w:t>
      </w:r>
    </w:p>
    <w:p w:rsidR="00E65EC5" w:rsidRPr="00953178" w:rsidRDefault="00926C8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</w:rPr>
      </w:pPr>
      <w:r w:rsidRPr="00953178">
        <w:rPr>
          <w:rFonts w:ascii="TimesNewRomanPSMT" w:eastAsia="Calibri" w:hAnsi="TimesNewRomanPSMT" w:cs="TimesNewRomanPSMT"/>
          <w:sz w:val="28"/>
          <w:szCs w:val="28"/>
        </w:rPr>
        <w:t>б) без личной явки:</w:t>
      </w:r>
    </w:p>
    <w:p w:rsidR="00E65EC5" w:rsidRPr="00953178" w:rsidRDefault="00926C8B" w:rsidP="00953178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53178">
        <w:rPr>
          <w:rFonts w:ascii="TimesNewRomanPSMT" w:eastAsia="Calibri" w:hAnsi="TimesNewRomanPSMT" w:cs="TimesNewRomanPSMT"/>
          <w:sz w:val="28"/>
          <w:szCs w:val="28"/>
        </w:rPr>
        <w:t>- почтовым отправлением;</w:t>
      </w:r>
    </w:p>
    <w:p w:rsidR="00E65EC5" w:rsidRDefault="00926C8B" w:rsidP="009531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составляет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E65EC5" w:rsidRPr="00953178" w:rsidRDefault="00926C8B" w:rsidP="009531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65EC5" w:rsidRDefault="00926C8B" w:rsidP="009531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2.7. Срок регистрации запроса заявителя о предоставлении муниципальной услуги составляет: </w:t>
      </w:r>
    </w:p>
    <w:p w:rsidR="00E65EC5" w:rsidRPr="00953178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178"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953178"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 w:rsidRPr="00953178"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531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53178">
        <w:rPr>
          <w:rFonts w:ascii="TimesNewRomanPSMT" w:eastAsia="Calibri" w:hAnsi="TimesNewRomanPSMT" w:cs="TimesNewRomanPSMT"/>
          <w:sz w:val="28"/>
          <w:szCs w:val="28"/>
        </w:rPr>
        <w:t>при направлении запроса почтовой связью - в течение одного рабочего дня с момента поступления запроса</w:t>
      </w:r>
      <w:r w:rsidRPr="0095317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953178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 w:rsidRPr="00953178">
        <w:rPr>
          <w:rFonts w:ascii="TimesNewRomanPSMT" w:eastAsia="Calibri" w:hAnsi="TimesNewRomanPSMT" w:cs="TimesNewRomanPSMT"/>
          <w:sz w:val="28"/>
          <w:szCs w:val="28"/>
        </w:rPr>
        <w:t>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65EC5" w:rsidRDefault="00E65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2.9. Показатели качества и доступности муниципальной услуги.</w:t>
      </w:r>
    </w:p>
    <w:p w:rsidR="00E65EC5" w:rsidRPr="00953178" w:rsidRDefault="00926C8B" w:rsidP="009531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E65EC5" w:rsidRDefault="00926C8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Необходимые и обязательные услуги отсутствуют.</w:t>
      </w:r>
    </w:p>
    <w:p w:rsidR="00E65EC5" w:rsidRDefault="00926C8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предоставление необходимых и обязательных услуг плата не установлена.</w:t>
      </w:r>
    </w:p>
    <w:p w:rsidR="00E65EC5" w:rsidRDefault="00926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65EC5" w:rsidRPr="00953178" w:rsidRDefault="00926C8B" w:rsidP="0095317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531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531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3178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</w:t>
      </w:r>
      <w:r w:rsidRPr="009531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Pr="00953178">
        <w:rPr>
          <w:rFonts w:ascii="Times New Roman" w:hAnsi="Times New Roman" w:cs="Times New Roman"/>
          <w:sz w:val="28"/>
          <w:szCs w:val="28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 w:rsidRPr="0095317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заверение выписок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65EC5" w:rsidRDefault="00E65EC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профилирование заявителя;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межведомственное информационное взаимодействие;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приостановление предоставления муниципальной услуги;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предоставление результата муниципальной услуги.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65EC5" w:rsidRDefault="00926C8B" w:rsidP="009531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65EC5" w:rsidRPr="00953178" w:rsidRDefault="00926C8B" w:rsidP="009531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E65EC5" w:rsidRDefault="00926C8B" w:rsidP="009531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E65EC5" w:rsidRDefault="00926C8B" w:rsidP="0095317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178">
        <w:rPr>
          <w:rFonts w:ascii="Times New Roman" w:eastAsia="Calibri" w:hAnsi="Times New Roman" w:cs="Times New Roman"/>
          <w:sz w:val="28"/>
          <w:szCs w:val="28"/>
          <w:lang w:eastAsia="en-US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8"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3.4. Межведомственное информационное взаимодействие.</w:t>
      </w:r>
    </w:p>
    <w:p w:rsidR="00E65EC5" w:rsidRDefault="00E65EC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</w:rPr>
        <w:t>запрашивает</w:t>
      </w:r>
      <w:proofErr w:type="gramEnd"/>
      <w:r>
        <w:rPr>
          <w:rFonts w:ascii="TimesNewRomanPSMT" w:eastAsia="Calibri" w:hAnsi="TimesNewRomanPSMT" w:cs="TimesNewRomanPSMT"/>
          <w:sz w:val="28"/>
          <w:szCs w:val="28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4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65EC5" w:rsidRDefault="00E65E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65EC5">
        <w:trPr>
          <w:trHeight w:val="1170"/>
        </w:trPr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E65EC5" w:rsidRDefault="00E65E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5EC5">
        <w:trPr>
          <w:trHeight w:val="265"/>
        </w:trPr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restart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53178">
              <w:rPr>
                <w:rFonts w:ascii="Times New Roman" w:hAnsi="Times New Roman"/>
                <w:sz w:val="20"/>
                <w:szCs w:val="20"/>
              </w:rPr>
              <w:t>Запрашивается посредством АИС «</w:t>
            </w:r>
            <w:proofErr w:type="spellStart"/>
            <w:r w:rsidRPr="00953178">
              <w:rPr>
                <w:rFonts w:ascii="Times New Roman" w:hAnsi="Times New Roman"/>
                <w:sz w:val="20"/>
                <w:szCs w:val="20"/>
              </w:rPr>
              <w:t>Межвед</w:t>
            </w:r>
            <w:proofErr w:type="spellEnd"/>
            <w:r w:rsidRPr="00953178">
              <w:rPr>
                <w:rFonts w:ascii="Times New Roman" w:hAnsi="Times New Roman"/>
                <w:sz w:val="20"/>
                <w:szCs w:val="20"/>
              </w:rPr>
              <w:t xml:space="preserve"> ЛО» ФНС/в государственной информационной системе "Единая централизованная цифровая платформа в социальной </w:t>
            </w:r>
            <w:r w:rsidRPr="00953178">
              <w:rPr>
                <w:rFonts w:ascii="Times New Roman" w:hAnsi="Times New Roman"/>
                <w:sz w:val="20"/>
                <w:szCs w:val="20"/>
              </w:rPr>
              <w:lastRenderedPageBreak/>
              <w:t>сфере" (в зависимости от технической возможности)</w:t>
            </w: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528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E65EC5">
        <w:tc>
          <w:tcPr>
            <w:tcW w:w="5323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528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  <w:tr w:rsidR="00E65EC5">
        <w:tc>
          <w:tcPr>
            <w:tcW w:w="5323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:rsidR="00E65EC5" w:rsidRDefault="00926C8B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:rsidR="00E65EC5" w:rsidRDefault="00926C8B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E65EC5" w:rsidRDefault="00926C8B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528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:rsidR="00E65EC5" w:rsidRDefault="00E65EC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 Приостановление предоставления муниципальной услуги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 w:rsidP="009531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65EC5" w:rsidRDefault="00926C8B" w:rsidP="0095317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представление заявителем сообщения об устранении выявленных нарушений;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услуги приостанавливается на </w:t>
      </w:r>
      <w:r w:rsidRPr="00953178">
        <w:rPr>
          <w:rFonts w:ascii="Times New Roman" w:eastAsia="Calibri" w:hAnsi="Times New Roman" w:cs="Times New Roman"/>
          <w:sz w:val="28"/>
          <w:szCs w:val="28"/>
          <w:lang w:eastAsia="en-US"/>
        </w:rPr>
        <w:t>срок не более 30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календарных дней.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3.6. Принятие решения о предоставлении (отказе в предоставлении) муниципальной услуги</w:t>
      </w:r>
    </w:p>
    <w:p w:rsidR="00E65EC5" w:rsidRDefault="00E65EC5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3.6.1.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ascii="TimesNewRomanPSMT" w:eastAsiaTheme="minorHAnsi" w:hAnsi="TimesNewRomanPSMT" w:cs="TimesNewRomanPSMT"/>
            <w:sz w:val="28"/>
            <w:szCs w:val="28"/>
            <w:lang w:eastAsia="en-US"/>
          </w:rPr>
          <w:t>(таблица № 3)</w:t>
        </w:r>
      </w:hyperlink>
    </w:p>
    <w:p w:rsidR="00E65EC5" w:rsidRDefault="00926C8B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с даты получения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уполномоченным органом всех сведений, необходимых для принятия решения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3.7. Предоставление результата муниципальной услуги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3.7.1. Решение о предоставлении (об отказе в предоставлении) муниципальной услуги, предоставляется:</w:t>
      </w:r>
    </w:p>
    <w:p w:rsidR="00E65EC5" w:rsidRPr="00953178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531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proofErr w:type="gramStart"/>
      <w:r w:rsidRPr="00953178">
        <w:rPr>
          <w:rFonts w:ascii="TimesNewRomanPSMT" w:eastAsia="Calibri" w:hAnsi="TimesNewRomanPSMT" w:cs="TimesNewRomanPSMT"/>
          <w:sz w:val="28"/>
          <w:szCs w:val="28"/>
        </w:rPr>
        <w:t>при</w:t>
      </w:r>
      <w:proofErr w:type="gramEnd"/>
      <w:r w:rsidRPr="00953178">
        <w:rPr>
          <w:rFonts w:ascii="TimesNewRomanPSMT" w:eastAsia="Calibri" w:hAnsi="TimesNewRomanPSMT" w:cs="TimesNewRomanPSMT"/>
          <w:sz w:val="28"/>
          <w:szCs w:val="28"/>
        </w:rPr>
        <w:t xml:space="preserve"> личной явки:</w:t>
      </w:r>
    </w:p>
    <w:p w:rsidR="00E65EC5" w:rsidRPr="00953178" w:rsidRDefault="00926C8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178">
        <w:rPr>
          <w:rFonts w:ascii="Times New Roman" w:eastAsia="Calibri" w:hAnsi="Times New Roman" w:cs="Times New Roman"/>
          <w:sz w:val="28"/>
          <w:szCs w:val="28"/>
        </w:rPr>
        <w:t>- в МФЦ;</w:t>
      </w:r>
    </w:p>
    <w:p w:rsidR="00E65EC5" w:rsidRPr="00953178" w:rsidRDefault="00926C8B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8"/>
          <w:szCs w:val="28"/>
        </w:rPr>
      </w:pPr>
      <w:r w:rsidRPr="00953178">
        <w:rPr>
          <w:rFonts w:ascii="TimesNewRomanPSMT" w:eastAsia="Calibri" w:hAnsi="TimesNewRomanPSMT" w:cs="TimesNewRomanPSMT"/>
          <w:sz w:val="28"/>
          <w:szCs w:val="28"/>
        </w:rPr>
        <w:t>б) без личной явки:</w:t>
      </w:r>
    </w:p>
    <w:p w:rsidR="00E65EC5" w:rsidRDefault="00926C8B" w:rsidP="00953178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53178">
        <w:rPr>
          <w:rFonts w:ascii="TimesNewRomanPSMT" w:eastAsia="Calibri" w:hAnsi="TimesNewRomanPSMT" w:cs="TimesNewRomanPSMT"/>
          <w:sz w:val="28"/>
          <w:szCs w:val="28"/>
        </w:rPr>
        <w:t>- почтовым отправлением;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178">
        <w:rPr>
          <w:rFonts w:ascii="Times New Roman" w:eastAsia="Calibri" w:hAnsi="Times New Roman" w:cs="Times New Roman"/>
          <w:sz w:val="28"/>
          <w:szCs w:val="28"/>
          <w:lang w:eastAsia="en-US"/>
        </w:rPr>
        <w:t>3.7.2.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3.7.3. Срок предоставления результата: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E65EC5" w:rsidRDefault="00E65E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926C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Способы информирования заявителя об изменении статуса</w:t>
      </w:r>
    </w:p>
    <w:p w:rsidR="00E65EC5" w:rsidRDefault="00926C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рассмотрения запроса о предоставлении муниципальной услуги</w:t>
      </w:r>
    </w:p>
    <w:p w:rsidR="00E65EC5" w:rsidRDefault="00E65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электронной почты по адресу, указанному заявителем в запросе;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телефону, указанному заявителем в запросе;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почтовой связи (в случае отсутствия у заявителя доступа к электронным средствам связи);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посредством Единого портала;</w:t>
      </w:r>
    </w:p>
    <w:p w:rsidR="00E65EC5" w:rsidRDefault="00E65EC5">
      <w:pPr>
        <w:pStyle w:val="ConsPlusNormal"/>
        <w:tabs>
          <w:tab w:val="left" w:pos="840"/>
        </w:tabs>
        <w:outlineLvl w:val="1"/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 w:rsidP="009531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Административному регламенту по предоставлению </w:t>
      </w:r>
      <w:r w:rsidRPr="00AD1B3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_______________________ (наименование услуги)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условных обозначений и сокращений,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документов,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предоставлении муниципальной услуги,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I. Перечень условных обозначений и сокращений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Условные сокращения: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E65EC5" w:rsidRPr="00953178" w:rsidRDefault="00926C8B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3178">
        <w:rPr>
          <w:rFonts w:ascii="Times New Roman" w:eastAsiaTheme="minorHAnsi" w:hAnsi="Times New Roman" w:cs="Times New Roman"/>
          <w:sz w:val="28"/>
          <w:szCs w:val="28"/>
          <w:lang w:eastAsia="en-US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178">
        <w:rPr>
          <w:rFonts w:ascii="Times New Roman" w:eastAsia="Calibri" w:hAnsi="Times New Roman" w:cs="Times New Roman"/>
          <w:sz w:val="28"/>
          <w:szCs w:val="28"/>
        </w:rPr>
        <w:t>в) АИС «</w:t>
      </w:r>
      <w:proofErr w:type="spellStart"/>
      <w:r w:rsidRPr="00953178"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 w:rsidRPr="00953178">
        <w:rPr>
          <w:rFonts w:ascii="Times New Roman" w:eastAsia="Calibri" w:hAnsi="Times New Roman" w:cs="Times New Roman"/>
          <w:sz w:val="28"/>
          <w:szCs w:val="28"/>
        </w:rPr>
        <w:t xml:space="preserve"> ЛО» - автоматизированная информационная система «Межведомственное электронное взаимодействие в Ленинградской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Условные обозначения: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з) – представитель заявителя;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Единый портал – документы подаются посредством Единого портала;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ПС – документы подаются посредством почтовой связи;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 – представляется оригинал документа;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представляется копия документа; 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Д – количество экземпляров документа.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3178" w:rsidRDefault="0095317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3178" w:rsidRDefault="0095317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1</w:t>
      </w:r>
    </w:p>
    <w:tbl>
      <w:tblPr>
        <w:tblStyle w:val="1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262"/>
        <w:gridCol w:w="4482"/>
      </w:tblGrid>
      <w:tr w:rsidR="00E65EC5">
        <w:tc>
          <w:tcPr>
            <w:tcW w:w="567" w:type="dxa"/>
            <w:vMerge w:val="restart"/>
          </w:tcPr>
          <w:p w:rsidR="00E65EC5" w:rsidRDefault="00E65EC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E65EC5" w:rsidRDefault="00E65EC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E65EC5">
        <w:trPr>
          <w:trHeight w:val="335"/>
        </w:trPr>
        <w:tc>
          <w:tcPr>
            <w:tcW w:w="567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E65EC5" w:rsidRDefault="00926C8B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3178">
              <w:rPr>
                <w:rFonts w:ascii="Times New Roman" w:hAnsi="Times New Roman"/>
                <w:b/>
                <w:sz w:val="20"/>
                <w:szCs w:val="20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E65EC5">
        <w:tc>
          <w:tcPr>
            <w:tcW w:w="567" w:type="dxa"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E65EC5">
        <w:tc>
          <w:tcPr>
            <w:tcW w:w="567" w:type="dxa"/>
          </w:tcPr>
          <w:p w:rsidR="00E65EC5" w:rsidRDefault="00E65EC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E65EC5">
        <w:tc>
          <w:tcPr>
            <w:tcW w:w="567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62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Гражданин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</w:tr>
    </w:tbl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</w:t>
      </w:r>
      <w:r w:rsidRPr="00953178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предоставления муниципальной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2</w:t>
      </w:r>
    </w:p>
    <w:tbl>
      <w:tblPr>
        <w:tblStyle w:val="14"/>
        <w:tblW w:w="10608" w:type="dxa"/>
        <w:tblInd w:w="-483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E65EC5">
        <w:tc>
          <w:tcPr>
            <w:tcW w:w="10608" w:type="dxa"/>
            <w:gridSpan w:val="5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E65EC5" w:rsidRDefault="00926C8B" w:rsidP="009531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 - МФЦ, ПС</w:t>
            </w:r>
          </w:p>
        </w:tc>
        <w:tc>
          <w:tcPr>
            <w:tcW w:w="221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E65EC5" w:rsidRDefault="00926C8B" w:rsidP="00953178">
            <w:pPr>
              <w:rPr>
                <w:rFonts w:ascii="Times New Roman" w:hAnsi="Times New Roman"/>
                <w:sz w:val="20"/>
                <w:szCs w:val="20"/>
              </w:rPr>
            </w:pPr>
            <w:r w:rsidRPr="00953178"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E65EC5" w:rsidRPr="00953178" w:rsidRDefault="00926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178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795" w:type="dxa"/>
          </w:tcPr>
          <w:p w:rsidR="00E65EC5" w:rsidRDefault="00926C8B" w:rsidP="009531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E65EC5" w:rsidRPr="00953178" w:rsidRDefault="00926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178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медицинские справки, свидетельствующие об отсутствии у вселяемых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граждан одной из тяжелых форм хронических заболеваний, указанных в предусмотренном </w:t>
            </w:r>
            <w:hyperlink r:id="rId12" w:tooltip="https://login.consultant.ru/link/?req=doc&amp;base=LAW&amp;n=507296&amp;dst=100366" w:history="1">
              <w:r>
                <w:rPr>
                  <w:rFonts w:ascii="Times New Roman" w:hAnsi="Times New Roman"/>
                  <w:sz w:val="20"/>
                  <w:szCs w:val="20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Жилищного кодекса Российской Федерации перечне </w:t>
            </w:r>
            <w:proofErr w:type="gramEnd"/>
          </w:p>
        </w:tc>
        <w:tc>
          <w:tcPr>
            <w:tcW w:w="2795" w:type="dxa"/>
          </w:tcPr>
          <w:p w:rsidR="00E65EC5" w:rsidRDefault="00926C8B" w:rsidP="009531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21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если обмену подлежит жилое помещение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коммунальной квартире</w:t>
            </w: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47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795" w:type="dxa"/>
          </w:tcPr>
          <w:p w:rsidR="00E65EC5" w:rsidRDefault="00926C8B" w:rsidP="009531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состав семьи</w:t>
            </w:r>
          </w:p>
          <w:p w:rsidR="00E65EC5" w:rsidRDefault="00E65E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E65EC5" w:rsidRDefault="00926C8B" w:rsidP="009531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EC5">
        <w:tc>
          <w:tcPr>
            <w:tcW w:w="639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</w:tcPr>
          <w:p w:rsidR="00E65EC5" w:rsidRDefault="00926C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E65EC5" w:rsidRDefault="00926C8B" w:rsidP="00953178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</w:tcPr>
          <w:p w:rsidR="00E65EC5" w:rsidRDefault="00E65EC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E65EC5" w:rsidRDefault="00926C8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65EC5" w:rsidRDefault="00926C8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65EC5" w:rsidRDefault="00926C8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E65EC5">
        <w:tc>
          <w:tcPr>
            <w:tcW w:w="9852" w:type="dxa"/>
            <w:gridSpan w:val="3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установленным административным регламентом.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</w:t>
            </w:r>
          </w:p>
        </w:tc>
      </w:tr>
      <w:tr w:rsidR="00E65EC5">
        <w:tc>
          <w:tcPr>
            <w:tcW w:w="9852" w:type="dxa"/>
            <w:gridSpan w:val="3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Исчерпывающий перечень оснований </w:t>
            </w:r>
          </w:p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поступление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ОМСУ ответа на межведомственный запрос</w:t>
            </w:r>
          </w:p>
        </w:tc>
        <w:tc>
          <w:tcPr>
            <w:tcW w:w="325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9852" w:type="dxa"/>
            <w:gridSpan w:val="3"/>
          </w:tcPr>
          <w:p w:rsidR="00E65EC5" w:rsidRDefault="00926C8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E65EC5" w:rsidRDefault="00926C8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rPr>
          <w:trHeight w:val="894"/>
        </w:trPr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rPr>
          <w:trHeight w:val="1128"/>
        </w:trPr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3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Pr="00953178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E65EC5" w:rsidRPr="00953178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8"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</w:tcPr>
          <w:p w:rsidR="00E65EC5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4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E65EC5" w:rsidRDefault="00926C8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020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E65EC5" w:rsidRDefault="00926C8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E65EC5">
        <w:tc>
          <w:tcPr>
            <w:tcW w:w="576" w:type="dxa"/>
          </w:tcPr>
          <w:p w:rsidR="00E65EC5" w:rsidRPr="00953178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8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020" w:type="dxa"/>
          </w:tcPr>
          <w:p w:rsidR="00E65EC5" w:rsidRPr="00953178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8">
              <w:rPr>
                <w:rFonts w:ascii="Times New Roman" w:hAnsi="Times New Roman"/>
                <w:sz w:val="24"/>
                <w:szCs w:val="24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E65EC5" w:rsidRPr="00953178" w:rsidRDefault="00E6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E65EC5" w:rsidRPr="00953178" w:rsidRDefault="00926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7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E65EC5" w:rsidRDefault="00E65E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lang w:eastAsia="en-US"/>
        </w:rPr>
      </w:pPr>
    </w:p>
    <w:p w:rsidR="00E65EC5" w:rsidRDefault="00E65EC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5EC5" w:rsidRDefault="00E65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1B30" w:rsidRDefault="00AD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1B30" w:rsidRDefault="00AD1B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5EC5" w:rsidRDefault="00E65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5EC5" w:rsidRDefault="00926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Формы заявлений и документов, </w:t>
      </w:r>
    </w:p>
    <w:p w:rsidR="00E65EC5" w:rsidRDefault="00926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_______________района Ленинградской области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65EC5" w:rsidRDefault="00E65EC5">
      <w:pPr>
        <w:pStyle w:val="ConsPlusNonformat"/>
        <w:jc w:val="both"/>
        <w:rPr>
          <w:sz w:val="24"/>
          <w:szCs w:val="24"/>
        </w:rPr>
      </w:pPr>
    </w:p>
    <w:p w:rsidR="00E65EC5" w:rsidRDefault="00E65E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P45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65EC5" w:rsidRDefault="00E65E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№ ______, расположенного по адресу: _____________________________________________________________________________</w:t>
      </w: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ы) (наниматель, члены его семьи, в том числе временно отсутствующие члены семьи): </w:t>
      </w:r>
    </w:p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10314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970"/>
      </w:tblGrid>
      <w:tr w:rsidR="00E65EC5">
        <w:tc>
          <w:tcPr>
            <w:tcW w:w="540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7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E65EC5" w:rsidRDefault="00926C8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f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E65EC5">
        <w:tc>
          <w:tcPr>
            <w:tcW w:w="540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8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E65EC5" w:rsidRDefault="00926C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C5">
        <w:tc>
          <w:tcPr>
            <w:tcW w:w="540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C5" w:rsidRDefault="00E65E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EC5" w:rsidRDefault="00926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10314" w:type="dxa"/>
        <w:tblLook w:val="04A0" w:firstRow="1" w:lastRow="0" w:firstColumn="1" w:lastColumn="0" w:noHBand="0" w:noVBand="1"/>
      </w:tblPr>
      <w:tblGrid>
        <w:gridCol w:w="651"/>
        <w:gridCol w:w="9663"/>
      </w:tblGrid>
      <w:tr w:rsidR="00E65EC5">
        <w:trPr>
          <w:trHeight w:val="609"/>
        </w:trPr>
        <w:tc>
          <w:tcPr>
            <w:tcW w:w="651" w:type="dxa"/>
          </w:tcPr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E65EC5" w:rsidRDefault="00926C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E65EC5">
        <w:trPr>
          <w:trHeight w:val="276"/>
        </w:trPr>
        <w:tc>
          <w:tcPr>
            <w:tcW w:w="651" w:type="dxa"/>
          </w:tcPr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E65EC5" w:rsidRDefault="00926C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E65EC5">
        <w:trPr>
          <w:trHeight w:val="486"/>
        </w:trPr>
        <w:tc>
          <w:tcPr>
            <w:tcW w:w="651" w:type="dxa"/>
          </w:tcPr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E65EC5">
        <w:trPr>
          <w:trHeight w:val="486"/>
        </w:trPr>
        <w:tc>
          <w:tcPr>
            <w:tcW w:w="651" w:type="dxa"/>
          </w:tcPr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5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6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ff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E65EC5">
        <w:tc>
          <w:tcPr>
            <w:tcW w:w="709" w:type="dxa"/>
          </w:tcPr>
          <w:p w:rsidR="00E65EC5" w:rsidRDefault="00E65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E65EC5" w:rsidRPr="00953178" w:rsidRDefault="00926C8B">
            <w:pPr>
              <w:widowControl w:val="0"/>
              <w:rPr>
                <w:rFonts w:ascii="Times New Roman" w:hAnsi="Times New Roman" w:cs="Times New Roman"/>
              </w:rPr>
            </w:pPr>
            <w:r w:rsidRPr="00953178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E65EC5">
        <w:tc>
          <w:tcPr>
            <w:tcW w:w="709" w:type="dxa"/>
          </w:tcPr>
          <w:p w:rsidR="00E65EC5" w:rsidRDefault="00E65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E65EC5" w:rsidRPr="00953178" w:rsidRDefault="00926C8B">
            <w:pPr>
              <w:widowControl w:val="0"/>
              <w:rPr>
                <w:rFonts w:ascii="Times New Roman" w:hAnsi="Times New Roman" w:cs="Times New Roman"/>
              </w:rPr>
            </w:pPr>
            <w:r w:rsidRPr="00953178">
              <w:rPr>
                <w:rFonts w:ascii="Times New Roman" w:hAnsi="Times New Roman" w:cs="Times New Roman"/>
              </w:rPr>
              <w:t>направить по почте</w:t>
            </w:r>
          </w:p>
        </w:tc>
      </w:tr>
    </w:tbl>
    <w:p w:rsidR="00E65EC5" w:rsidRDefault="00E65EC5">
      <w:pPr>
        <w:ind w:firstLine="720"/>
        <w:rPr>
          <w:rFonts w:ascii="Times New Roman" w:hAnsi="Times New Roman" w:cs="Times New Roman"/>
        </w:rPr>
      </w:pPr>
    </w:p>
    <w:p w:rsidR="00E65EC5" w:rsidRDefault="00E65EC5">
      <w:pPr>
        <w:ind w:firstLine="720"/>
        <w:rPr>
          <w:rFonts w:ascii="Times New Roman" w:hAnsi="Times New Roman" w:cs="Times New Roman"/>
        </w:rPr>
      </w:pPr>
    </w:p>
    <w:p w:rsidR="00E65EC5" w:rsidRDefault="00926C8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65EC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65EC5" w:rsidRDefault="00E65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65EC5" w:rsidRDefault="00E65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65EC5" w:rsidRDefault="00E65EC5">
            <w:pPr>
              <w:rPr>
                <w:rFonts w:ascii="Times New Roman" w:hAnsi="Times New Roman" w:cs="Times New Roman"/>
              </w:rPr>
            </w:pPr>
          </w:p>
        </w:tc>
      </w:tr>
      <w:tr w:rsidR="00E65EC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65EC5" w:rsidRDefault="0092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65EC5" w:rsidRDefault="00E65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65EC5" w:rsidRDefault="0092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E65EC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65EC5" w:rsidRDefault="00E65EC5">
            <w:pPr>
              <w:rPr>
                <w:rFonts w:ascii="Times New Roman" w:hAnsi="Times New Roman" w:cs="Times New Roman"/>
              </w:rPr>
            </w:pPr>
          </w:p>
          <w:p w:rsidR="00E65EC5" w:rsidRDefault="00E65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65EC5" w:rsidRDefault="00E65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65EC5" w:rsidRDefault="0092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65EC5" w:rsidRDefault="00E65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65EC5" w:rsidRDefault="00926C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65EC5" w:rsidRDefault="00E65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65EC5" w:rsidRDefault="00926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E65EC5" w:rsidRDefault="00E65EC5">
      <w:pPr>
        <w:ind w:firstLine="720"/>
        <w:rPr>
          <w:rFonts w:ascii="Times New Roman" w:hAnsi="Times New Roman" w:cs="Times New Roman"/>
        </w:rPr>
      </w:pPr>
    </w:p>
    <w:p w:rsidR="00E65EC5" w:rsidRDefault="00926C8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E65EC5" w:rsidRDefault="00926C8B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E65EC5" w:rsidRDefault="00926C8B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E65EC5" w:rsidRDefault="00926C8B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E65EC5" w:rsidRDefault="00926C8B">
      <w:pPr>
        <w:pStyle w:val="af8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                          </w:t>
      </w:r>
      <w:r w:rsidR="00AD1B30">
        <w:rPr>
          <w:rFonts w:ascii="Times New Roman" w:hAnsi="Times New Roman" w:cs="Times New Roman"/>
        </w:rPr>
        <w:t xml:space="preserve">                 </w:t>
      </w:r>
      <w:r w:rsidR="00AD1B30">
        <w:rPr>
          <w:rFonts w:ascii="Times New Roman" w:hAnsi="Times New Roman" w:cs="Times New Roman"/>
          <w:sz w:val="20"/>
          <w:szCs w:val="20"/>
        </w:rPr>
        <w:t xml:space="preserve">(подпись </w:t>
      </w:r>
      <w:r>
        <w:rPr>
          <w:rFonts w:ascii="Times New Roman" w:hAnsi="Times New Roman" w:cs="Times New Roman"/>
          <w:sz w:val="20"/>
          <w:szCs w:val="20"/>
        </w:rPr>
        <w:t xml:space="preserve">заявителя)  </w:t>
      </w: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1B30" w:rsidRDefault="00AD1B3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1B30" w:rsidRDefault="00AD1B3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1B30" w:rsidRDefault="00AD1B3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1B30" w:rsidRDefault="00AD1B3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1B30" w:rsidRDefault="00AD1B3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65EC5" w:rsidRDefault="00926C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65EC5" w:rsidRDefault="00926C8B">
      <w:pPr>
        <w:widowControl w:val="0"/>
        <w:spacing w:after="0" w:line="240" w:lineRule="auto"/>
        <w:ind w:left="6372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E65EC5" w:rsidRDefault="00926C8B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E65EC5" w:rsidRDefault="00926C8B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:rsidR="00E65EC5" w:rsidRDefault="00926C8B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:rsidR="00E65EC5" w:rsidRDefault="00926C8B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E65EC5" w:rsidRDefault="00926C8B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:rsidR="00E65EC5" w:rsidRDefault="00926C8B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E65EC5" w:rsidRDefault="00926C8B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E65EC5" w:rsidRDefault="00E65EC5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E65EC5" w:rsidRDefault="00926C8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:rsidR="00E65EC5" w:rsidRDefault="00926C8B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E65EC5" w:rsidRDefault="00E65EC5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E65EC5" w:rsidRDefault="00926C8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 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:rsidR="00E65EC5" w:rsidRDefault="00926C8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1, расположенное по адресу: __________________________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E65EC5" w:rsidRDefault="00E65E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EC5" w:rsidRDefault="0092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__________________   _________________________</w:t>
      </w:r>
    </w:p>
    <w:p w:rsidR="00E65EC5" w:rsidRDefault="0092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(должность)                             (подпись)                  (фамилия и инициалы)</w:t>
      </w:r>
    </w:p>
    <w:p w:rsidR="00E65EC5" w:rsidRDefault="00E65E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D1B30" w:rsidRDefault="00AD1B3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D1B30" w:rsidRDefault="00AD1B3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E65EC5" w:rsidRDefault="00926C8B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адрес, телефон)</w:t>
      </w: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E65EC5" w:rsidRDefault="00926C8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E65EC5" w:rsidRDefault="00926C8B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AD1B30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65EC5" w:rsidRDefault="00926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E65EC5" w:rsidRDefault="00E6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E6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E6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E6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E6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E6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E65EC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E6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65EC5" w:rsidRDefault="00E65EC5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65EC5" w:rsidRDefault="00926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E65EC5" w:rsidRDefault="00E6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AD1B30">
        <w:rPr>
          <w:rFonts w:ascii="Times New Roman" w:eastAsia="Times New Roman" w:hAnsi="Times New Roman" w:cs="Times New Roman"/>
          <w:sz w:val="24"/>
          <w:szCs w:val="24"/>
        </w:rPr>
        <w:t>трудника органа МСУ/Организации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решение)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D1B30" w:rsidRDefault="00AD1B3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D1B30" w:rsidRDefault="00AD1B3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AD1B30" w:rsidRDefault="00AD1B3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926C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4</w:t>
      </w:r>
    </w:p>
    <w:p w:rsidR="00E65EC5" w:rsidRDefault="00926C8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E65EC5" w:rsidRDefault="00926C8B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E65EC5" w:rsidRDefault="00926C8B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Угловой штамп ОМСУ</w:t>
      </w:r>
    </w:p>
    <w:p w:rsidR="00E65EC5" w:rsidRDefault="00E65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E65EC5" w:rsidRDefault="00E65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E65EC5" w:rsidRDefault="00926C8B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E65EC5" w:rsidRDefault="00E65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E65EC5" w:rsidRDefault="00926C8B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(имя, отчество)</w:t>
      </w:r>
    </w:p>
    <w:p w:rsidR="00E65EC5" w:rsidRDefault="00E65E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наличием  в заявлении и (или) документах (сведениях), представленных заявителем, неполной информации</w:t>
      </w: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/неполучение сведений по запросу, направленному по</w:t>
      </w:r>
      <w:r w:rsidRPr="00AD1B30">
        <w:rPr>
          <w:rFonts w:ascii="TimesNewRomanPSMT" w:eastAsia="Calibri" w:hAnsi="TimesNewRomanPSMT" w:cs="TimesNewRomanPSMT"/>
          <w:sz w:val="24"/>
          <w:szCs w:val="24"/>
        </w:rPr>
        <w:t xml:space="preserve"> межведомственному информационному взаимодействию</w:t>
      </w:r>
      <w:r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(нужное подчеркнуть)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приостановлено.</w:t>
      </w:r>
    </w:p>
    <w:p w:rsidR="00E65EC5" w:rsidRDefault="00926C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</w:rPr>
        <w:t xml:space="preserve"> межведомственному информационному взаимодействию,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предоставление муниципальной услуги будет возобновлено.</w:t>
      </w:r>
    </w:p>
    <w:p w:rsidR="00E65EC5" w:rsidRDefault="00E65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Pr="00AD1B30" w:rsidRDefault="00926C8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Полную информацию/недостающий документ Вы вправе представить:</w:t>
      </w:r>
    </w:p>
    <w:p w:rsidR="00E65EC5" w:rsidRPr="00AD1B30" w:rsidRDefault="00926C8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при личной явке:</w:t>
      </w:r>
    </w:p>
    <w:p w:rsidR="00E65EC5" w:rsidRPr="00AD1B30" w:rsidRDefault="00926C8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в ОМСУ;</w:t>
      </w:r>
    </w:p>
    <w:p w:rsidR="00E65EC5" w:rsidRPr="00AD1B30" w:rsidRDefault="00926C8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в МФЦ;</w:t>
      </w:r>
    </w:p>
    <w:p w:rsidR="00E65EC5" w:rsidRPr="00AD1B30" w:rsidRDefault="00926C8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без личной явки:</w:t>
      </w:r>
    </w:p>
    <w:p w:rsidR="00E65EC5" w:rsidRDefault="00926C8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B30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почтовым отправлением.</w:t>
      </w:r>
    </w:p>
    <w:p w:rsidR="00E65EC5" w:rsidRDefault="00E65EC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E65EC5" w:rsidRDefault="00E65EC5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E65EC5" w:rsidRDefault="00E65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926C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E65EC5" w:rsidRDefault="00926C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E65EC5" w:rsidRDefault="00926C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65EC5" w:rsidRDefault="00E65EC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65EC5" w:rsidRDefault="00926C8B" w:rsidP="00AD1B30">
      <w:pPr>
        <w:ind w:left="5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AD1B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5</w:t>
      </w:r>
      <w:bookmarkStart w:id="4" w:name="_GoBack"/>
      <w:bookmarkEnd w:id="4"/>
    </w:p>
    <w:p w:rsidR="00E65EC5" w:rsidRDefault="00926C8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E65EC5" w:rsidRDefault="00926C8B">
      <w:pPr>
        <w:ind w:left="5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E65EC5" w:rsidRDefault="00E65EC5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E65EC5" w:rsidRDefault="00926C8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E65EC5" w:rsidRDefault="00926C8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E65EC5" w:rsidRDefault="00E6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5EC5" w:rsidRDefault="00926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4961"/>
        <w:gridCol w:w="4394"/>
      </w:tblGrid>
      <w:tr w:rsidR="00E65EC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5" w:rsidRDefault="0092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1"/>
        <w:tblW w:w="10490" w:type="dxa"/>
        <w:tblInd w:w="-34" w:type="dxa"/>
        <w:tblLook w:val="04A0" w:firstRow="1" w:lastRow="0" w:firstColumn="1" w:lastColumn="0" w:noHBand="0" w:noVBand="1"/>
      </w:tblPr>
      <w:tblGrid>
        <w:gridCol w:w="1135"/>
        <w:gridCol w:w="4961"/>
        <w:gridCol w:w="4394"/>
      </w:tblGrid>
      <w:tr w:rsidR="00E65EC5">
        <w:tc>
          <w:tcPr>
            <w:tcW w:w="113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</w:tcPr>
          <w:p w:rsidR="00E65EC5" w:rsidRDefault="00926C8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65EC5">
        <w:tc>
          <w:tcPr>
            <w:tcW w:w="113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E65EC5" w:rsidRDefault="00926C8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135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394" w:type="dxa"/>
          </w:tcPr>
          <w:p w:rsidR="00E65EC5" w:rsidRDefault="00926C8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4"/>
        <w:tblW w:w="10456" w:type="dxa"/>
        <w:tblLook w:val="04A0" w:firstRow="1" w:lastRow="0" w:firstColumn="1" w:lastColumn="0" w:noHBand="0" w:noVBand="1"/>
      </w:tblPr>
      <w:tblGrid>
        <w:gridCol w:w="1101"/>
        <w:gridCol w:w="4961"/>
        <w:gridCol w:w="4394"/>
      </w:tblGrid>
      <w:tr w:rsidR="00E65EC5">
        <w:trPr>
          <w:trHeight w:val="1128"/>
        </w:trPr>
        <w:tc>
          <w:tcPr>
            <w:tcW w:w="1101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7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4394" w:type="dxa"/>
          </w:tcPr>
          <w:p w:rsidR="00E65EC5" w:rsidRDefault="00926C8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101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4394" w:type="dxa"/>
          </w:tcPr>
          <w:p w:rsidR="00E65EC5" w:rsidRDefault="00926C8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101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4394" w:type="dxa"/>
          </w:tcPr>
          <w:p w:rsidR="00E65EC5" w:rsidRDefault="00926C8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101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8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4394" w:type="dxa"/>
          </w:tcPr>
          <w:p w:rsidR="00E65EC5" w:rsidRDefault="00926C8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101" w:type="dxa"/>
          </w:tcPr>
          <w:p w:rsidR="00E65EC5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961" w:type="dxa"/>
          </w:tcPr>
          <w:p w:rsidR="00E65EC5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E65EC5" w:rsidRDefault="00E6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65EC5" w:rsidRDefault="00926C8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65EC5">
        <w:tc>
          <w:tcPr>
            <w:tcW w:w="1101" w:type="dxa"/>
          </w:tcPr>
          <w:p w:rsidR="00E65EC5" w:rsidRPr="00AD1B30" w:rsidRDefault="00926C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3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961" w:type="dxa"/>
          </w:tcPr>
          <w:p w:rsidR="00E65EC5" w:rsidRPr="00AD1B30" w:rsidRDefault="00926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30">
              <w:rPr>
                <w:rFonts w:ascii="Times New Roman" w:hAnsi="Times New Roman"/>
                <w:sz w:val="24"/>
                <w:szCs w:val="24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4394" w:type="dxa"/>
          </w:tcPr>
          <w:p w:rsidR="00E65EC5" w:rsidRPr="00AD1B30" w:rsidRDefault="00926C8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D1B30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65EC5" w:rsidRDefault="00E6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МСУ, 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решение)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5EC5" w:rsidRDefault="0092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65EC5" w:rsidRDefault="00E65E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</w:p>
    <w:p w:rsidR="00E65EC5" w:rsidRDefault="00E65EC5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ind w:lef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E65EC5" w:rsidRDefault="00E65EC5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sectPr w:rsidR="00E65EC5" w:rsidSect="00C459D6">
      <w:headerReference w:type="default" r:id="rId19"/>
      <w:footerReference w:type="first" r:id="rId20"/>
      <w:pgSz w:w="11905" w:h="16838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68" w:rsidRDefault="00843A68">
      <w:pPr>
        <w:spacing w:after="0" w:line="240" w:lineRule="auto"/>
      </w:pPr>
      <w:r>
        <w:separator/>
      </w:r>
    </w:p>
  </w:endnote>
  <w:endnote w:type="continuationSeparator" w:id="0">
    <w:p w:rsidR="00843A68" w:rsidRDefault="0084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068921"/>
      <w:docPartObj>
        <w:docPartGallery w:val="Page Numbers (Bottom of Page)"/>
        <w:docPartUnique/>
      </w:docPartObj>
    </w:sdtPr>
    <w:sdtContent>
      <w:p w:rsidR="00C459D6" w:rsidRDefault="00C459D6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30">
          <w:rPr>
            <w:noProof/>
          </w:rPr>
          <w:t>1</w:t>
        </w:r>
        <w:r>
          <w:fldChar w:fldCharType="end"/>
        </w:r>
      </w:p>
    </w:sdtContent>
  </w:sdt>
  <w:p w:rsidR="00C459D6" w:rsidRDefault="00C459D6">
    <w:pPr>
      <w:pStyle w:val="13"/>
    </w:pPr>
  </w:p>
  <w:p w:rsidR="00C459D6" w:rsidRDefault="00C459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68" w:rsidRDefault="00843A68">
      <w:pPr>
        <w:spacing w:after="0" w:line="240" w:lineRule="auto"/>
      </w:pPr>
      <w:r>
        <w:separator/>
      </w:r>
    </w:p>
  </w:footnote>
  <w:footnote w:type="continuationSeparator" w:id="0">
    <w:p w:rsidR="00843A68" w:rsidRDefault="0084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158609"/>
      <w:docPartObj>
        <w:docPartGallery w:val="Page Numbers (Top of Page)"/>
        <w:docPartUnique/>
      </w:docPartObj>
    </w:sdtPr>
    <w:sdtContent>
      <w:p w:rsidR="00C459D6" w:rsidRDefault="00C459D6">
        <w:pPr>
          <w:pStyle w:val="12"/>
          <w:jc w:val="center"/>
        </w:pPr>
      </w:p>
      <w:p w:rsidR="00C459D6" w:rsidRDefault="00C459D6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30">
          <w:rPr>
            <w:noProof/>
          </w:rPr>
          <w:t>2</w:t>
        </w:r>
        <w:r>
          <w:fldChar w:fldCharType="end"/>
        </w:r>
      </w:p>
    </w:sdtContent>
  </w:sdt>
  <w:p w:rsidR="00C459D6" w:rsidRDefault="00C459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C9"/>
    <w:multiLevelType w:val="hybridMultilevel"/>
    <w:tmpl w:val="6A4A2EB4"/>
    <w:lvl w:ilvl="0" w:tplc="F912B6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8C81C54">
      <w:start w:val="1"/>
      <w:numFmt w:val="lowerLetter"/>
      <w:lvlText w:val="%2."/>
      <w:lvlJc w:val="left"/>
      <w:pPr>
        <w:ind w:left="1440" w:hanging="360"/>
      </w:pPr>
    </w:lvl>
    <w:lvl w:ilvl="2" w:tplc="10BEC2E8">
      <w:start w:val="1"/>
      <w:numFmt w:val="lowerRoman"/>
      <w:lvlText w:val="%3."/>
      <w:lvlJc w:val="right"/>
      <w:pPr>
        <w:ind w:left="2160" w:hanging="180"/>
      </w:pPr>
    </w:lvl>
    <w:lvl w:ilvl="3" w:tplc="E4BA47AA">
      <w:start w:val="1"/>
      <w:numFmt w:val="decimal"/>
      <w:lvlText w:val="%4."/>
      <w:lvlJc w:val="left"/>
      <w:pPr>
        <w:ind w:left="2880" w:hanging="360"/>
      </w:pPr>
    </w:lvl>
    <w:lvl w:ilvl="4" w:tplc="AF76F320">
      <w:start w:val="1"/>
      <w:numFmt w:val="lowerLetter"/>
      <w:lvlText w:val="%5."/>
      <w:lvlJc w:val="left"/>
      <w:pPr>
        <w:ind w:left="3600" w:hanging="360"/>
      </w:pPr>
    </w:lvl>
    <w:lvl w:ilvl="5" w:tplc="A600D49A">
      <w:start w:val="1"/>
      <w:numFmt w:val="lowerRoman"/>
      <w:lvlText w:val="%6."/>
      <w:lvlJc w:val="right"/>
      <w:pPr>
        <w:ind w:left="4320" w:hanging="180"/>
      </w:pPr>
    </w:lvl>
    <w:lvl w:ilvl="6" w:tplc="B8FE8234">
      <w:start w:val="1"/>
      <w:numFmt w:val="decimal"/>
      <w:lvlText w:val="%7."/>
      <w:lvlJc w:val="left"/>
      <w:pPr>
        <w:ind w:left="5040" w:hanging="360"/>
      </w:pPr>
    </w:lvl>
    <w:lvl w:ilvl="7" w:tplc="686C92CE">
      <w:start w:val="1"/>
      <w:numFmt w:val="lowerLetter"/>
      <w:lvlText w:val="%8."/>
      <w:lvlJc w:val="left"/>
      <w:pPr>
        <w:ind w:left="5760" w:hanging="360"/>
      </w:pPr>
    </w:lvl>
    <w:lvl w:ilvl="8" w:tplc="5BBA85F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64ECD"/>
    <w:multiLevelType w:val="hybridMultilevel"/>
    <w:tmpl w:val="AA62059A"/>
    <w:lvl w:ilvl="0" w:tplc="35D0D4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D5547E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E6646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0AA2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AAF7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860C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F6B1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7E5A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3A56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B540C9"/>
    <w:multiLevelType w:val="hybridMultilevel"/>
    <w:tmpl w:val="598253F0"/>
    <w:lvl w:ilvl="0" w:tplc="8A322B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EC3C0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C1227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B6455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0A879B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6FA6A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336EB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CD4533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6E84BD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EE107C0"/>
    <w:multiLevelType w:val="hybridMultilevel"/>
    <w:tmpl w:val="DD98AAFE"/>
    <w:lvl w:ilvl="0" w:tplc="4C408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C5800EA">
      <w:start w:val="1"/>
      <w:numFmt w:val="lowerLetter"/>
      <w:lvlText w:val="%2."/>
      <w:lvlJc w:val="left"/>
      <w:pPr>
        <w:ind w:left="1440" w:hanging="360"/>
      </w:pPr>
    </w:lvl>
    <w:lvl w:ilvl="2" w:tplc="66E4A3D6">
      <w:start w:val="1"/>
      <w:numFmt w:val="lowerRoman"/>
      <w:lvlText w:val="%3."/>
      <w:lvlJc w:val="right"/>
      <w:pPr>
        <w:ind w:left="2160" w:hanging="180"/>
      </w:pPr>
    </w:lvl>
    <w:lvl w:ilvl="3" w:tplc="F7900238">
      <w:start w:val="1"/>
      <w:numFmt w:val="decimal"/>
      <w:lvlText w:val="%4."/>
      <w:lvlJc w:val="left"/>
      <w:pPr>
        <w:ind w:left="2880" w:hanging="360"/>
      </w:pPr>
    </w:lvl>
    <w:lvl w:ilvl="4" w:tplc="6A908346">
      <w:start w:val="1"/>
      <w:numFmt w:val="lowerLetter"/>
      <w:lvlText w:val="%5."/>
      <w:lvlJc w:val="left"/>
      <w:pPr>
        <w:ind w:left="3600" w:hanging="360"/>
      </w:pPr>
    </w:lvl>
    <w:lvl w:ilvl="5" w:tplc="777C4602">
      <w:start w:val="1"/>
      <w:numFmt w:val="lowerRoman"/>
      <w:lvlText w:val="%6."/>
      <w:lvlJc w:val="right"/>
      <w:pPr>
        <w:ind w:left="4320" w:hanging="180"/>
      </w:pPr>
    </w:lvl>
    <w:lvl w:ilvl="6" w:tplc="0C985F44">
      <w:start w:val="1"/>
      <w:numFmt w:val="decimal"/>
      <w:lvlText w:val="%7."/>
      <w:lvlJc w:val="left"/>
      <w:pPr>
        <w:ind w:left="5040" w:hanging="360"/>
      </w:pPr>
    </w:lvl>
    <w:lvl w:ilvl="7" w:tplc="268AF670">
      <w:start w:val="1"/>
      <w:numFmt w:val="lowerLetter"/>
      <w:lvlText w:val="%8."/>
      <w:lvlJc w:val="left"/>
      <w:pPr>
        <w:ind w:left="5760" w:hanging="360"/>
      </w:pPr>
    </w:lvl>
    <w:lvl w:ilvl="8" w:tplc="CB54DD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C0589"/>
    <w:multiLevelType w:val="hybridMultilevel"/>
    <w:tmpl w:val="2BEEB40A"/>
    <w:lvl w:ilvl="0" w:tplc="53D45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342BD8">
      <w:start w:val="1"/>
      <w:numFmt w:val="lowerLetter"/>
      <w:lvlText w:val="%2."/>
      <w:lvlJc w:val="left"/>
      <w:pPr>
        <w:ind w:left="1440" w:hanging="360"/>
      </w:pPr>
    </w:lvl>
    <w:lvl w:ilvl="2" w:tplc="5C3E31A2">
      <w:start w:val="1"/>
      <w:numFmt w:val="lowerRoman"/>
      <w:lvlText w:val="%3."/>
      <w:lvlJc w:val="right"/>
      <w:pPr>
        <w:ind w:left="2160" w:hanging="180"/>
      </w:pPr>
    </w:lvl>
    <w:lvl w:ilvl="3" w:tplc="98E05F0C">
      <w:start w:val="1"/>
      <w:numFmt w:val="decimal"/>
      <w:lvlText w:val="%4."/>
      <w:lvlJc w:val="left"/>
      <w:pPr>
        <w:ind w:left="2880" w:hanging="360"/>
      </w:pPr>
    </w:lvl>
    <w:lvl w:ilvl="4" w:tplc="BBCAC3DA">
      <w:start w:val="1"/>
      <w:numFmt w:val="lowerLetter"/>
      <w:lvlText w:val="%5."/>
      <w:lvlJc w:val="left"/>
      <w:pPr>
        <w:ind w:left="3600" w:hanging="360"/>
      </w:pPr>
    </w:lvl>
    <w:lvl w:ilvl="5" w:tplc="0764FAA8">
      <w:start w:val="1"/>
      <w:numFmt w:val="lowerRoman"/>
      <w:lvlText w:val="%6."/>
      <w:lvlJc w:val="right"/>
      <w:pPr>
        <w:ind w:left="4320" w:hanging="180"/>
      </w:pPr>
    </w:lvl>
    <w:lvl w:ilvl="6" w:tplc="8288012E">
      <w:start w:val="1"/>
      <w:numFmt w:val="decimal"/>
      <w:lvlText w:val="%7."/>
      <w:lvlJc w:val="left"/>
      <w:pPr>
        <w:ind w:left="5040" w:hanging="360"/>
      </w:pPr>
    </w:lvl>
    <w:lvl w:ilvl="7" w:tplc="A63AABB6">
      <w:start w:val="1"/>
      <w:numFmt w:val="lowerLetter"/>
      <w:lvlText w:val="%8."/>
      <w:lvlJc w:val="left"/>
      <w:pPr>
        <w:ind w:left="5760" w:hanging="360"/>
      </w:pPr>
    </w:lvl>
    <w:lvl w:ilvl="8" w:tplc="092898E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D7774"/>
    <w:multiLevelType w:val="hybridMultilevel"/>
    <w:tmpl w:val="CEF8AA34"/>
    <w:lvl w:ilvl="0" w:tplc="2CB8E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A01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2601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C25F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91E34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6643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6C2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F8BE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E049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EC5"/>
    <w:rsid w:val="005817C1"/>
    <w:rsid w:val="00843A68"/>
    <w:rsid w:val="00926C8B"/>
    <w:rsid w:val="00953178"/>
    <w:rsid w:val="00AD1B30"/>
    <w:rsid w:val="00C459D6"/>
    <w:rsid w:val="00E6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65EC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65EC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65E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65E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65E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65E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65E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65E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65E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65E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65E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65E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65E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65E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65E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65E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65E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65EC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65E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65E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65E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E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65E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65E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65E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65EC5"/>
    <w:rPr>
      <w:i/>
    </w:rPr>
  </w:style>
  <w:style w:type="character" w:customStyle="1" w:styleId="HeaderChar">
    <w:name w:val="Header Char"/>
    <w:basedOn w:val="a0"/>
    <w:uiPriority w:val="99"/>
    <w:rsid w:val="00E65EC5"/>
  </w:style>
  <w:style w:type="character" w:customStyle="1" w:styleId="FooterChar">
    <w:name w:val="Footer Char"/>
    <w:basedOn w:val="a0"/>
    <w:uiPriority w:val="99"/>
    <w:rsid w:val="00E65EC5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E65EC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E65EC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65EC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E65EC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65EC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5E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5EC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65E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65EC5"/>
    <w:rPr>
      <w:sz w:val="18"/>
    </w:rPr>
  </w:style>
  <w:style w:type="character" w:styleId="ac">
    <w:name w:val="footnote reference"/>
    <w:basedOn w:val="a0"/>
    <w:uiPriority w:val="99"/>
    <w:unhideWhenUsed/>
    <w:rsid w:val="00E65E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65E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65EC5"/>
    <w:rPr>
      <w:sz w:val="20"/>
    </w:rPr>
  </w:style>
  <w:style w:type="character" w:styleId="af">
    <w:name w:val="endnote reference"/>
    <w:basedOn w:val="a0"/>
    <w:uiPriority w:val="99"/>
    <w:semiHidden/>
    <w:unhideWhenUsed/>
    <w:rsid w:val="00E65E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65EC5"/>
    <w:pPr>
      <w:spacing w:after="57"/>
    </w:pPr>
  </w:style>
  <w:style w:type="paragraph" w:styleId="21">
    <w:name w:val="toc 2"/>
    <w:basedOn w:val="a"/>
    <w:next w:val="a"/>
    <w:uiPriority w:val="39"/>
    <w:unhideWhenUsed/>
    <w:rsid w:val="00E65E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65E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65E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65E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65E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65E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65E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65EC5"/>
    <w:pPr>
      <w:spacing w:after="57"/>
      <w:ind w:left="2268"/>
    </w:pPr>
  </w:style>
  <w:style w:type="paragraph" w:styleId="af0">
    <w:name w:val="TOC Heading"/>
    <w:uiPriority w:val="39"/>
    <w:unhideWhenUsed/>
    <w:rsid w:val="00E65EC5"/>
  </w:style>
  <w:style w:type="paragraph" w:styleId="af1">
    <w:name w:val="table of figures"/>
    <w:basedOn w:val="a"/>
    <w:next w:val="a"/>
    <w:uiPriority w:val="99"/>
    <w:unhideWhenUsed/>
    <w:rsid w:val="00E65EC5"/>
    <w:pPr>
      <w:spacing w:after="0"/>
    </w:pPr>
  </w:style>
  <w:style w:type="paragraph" w:customStyle="1" w:styleId="210">
    <w:name w:val="Заголовок 21"/>
    <w:basedOn w:val="a"/>
    <w:next w:val="a"/>
    <w:link w:val="22"/>
    <w:unhideWhenUsed/>
    <w:qFormat/>
    <w:rsid w:val="00E65EC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E65EC5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65EC5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E65EC5"/>
    <w:pPr>
      <w:widowControl w:val="0"/>
      <w:spacing w:after="0" w:line="240" w:lineRule="auto"/>
    </w:pPr>
    <w:rPr>
      <w:rFonts w:ascii="Calibri" w:hAnsi="Calibri" w:cs="Calibri"/>
    </w:rPr>
  </w:style>
  <w:style w:type="character" w:styleId="af2">
    <w:name w:val="Hyperlink"/>
    <w:basedOn w:val="a0"/>
    <w:uiPriority w:val="99"/>
    <w:unhideWhenUsed/>
    <w:rsid w:val="00E65EC5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6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5EC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65EC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Верхний колонтитул1"/>
    <w:basedOn w:val="a"/>
    <w:link w:val="af5"/>
    <w:uiPriority w:val="99"/>
    <w:unhideWhenUsed/>
    <w:rsid w:val="00E6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  <w:rsid w:val="00E65EC5"/>
  </w:style>
  <w:style w:type="paragraph" w:customStyle="1" w:styleId="13">
    <w:name w:val="Нижний колонтитул1"/>
    <w:basedOn w:val="a"/>
    <w:link w:val="af6"/>
    <w:uiPriority w:val="99"/>
    <w:unhideWhenUsed/>
    <w:rsid w:val="00E6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rsid w:val="00E65EC5"/>
  </w:style>
  <w:style w:type="paragraph" w:styleId="af7">
    <w:name w:val="Normal (Web)"/>
    <w:basedOn w:val="a"/>
    <w:uiPriority w:val="99"/>
    <w:unhideWhenUsed/>
    <w:rsid w:val="00E6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E65EC5"/>
    <w:pPr>
      <w:ind w:left="720"/>
    </w:pPr>
    <w:rPr>
      <w:rFonts w:ascii="Calibri" w:eastAsia="Calibri" w:hAnsi="Calibri" w:cs="Calibri"/>
    </w:rPr>
  </w:style>
  <w:style w:type="character" w:customStyle="1" w:styleId="22">
    <w:name w:val="Заголовок 2 Знак"/>
    <w:basedOn w:val="a0"/>
    <w:link w:val="210"/>
    <w:rsid w:val="00E65E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E65EC5"/>
    <w:rPr>
      <w:sz w:val="16"/>
      <w:szCs w:val="16"/>
    </w:rPr>
  </w:style>
  <w:style w:type="paragraph" w:styleId="afb">
    <w:name w:val="annotation text"/>
    <w:basedOn w:val="a"/>
    <w:link w:val="afc"/>
    <w:unhideWhenUsed/>
    <w:rsid w:val="00E65EC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65EC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65E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65EC5"/>
    <w:rPr>
      <w:b/>
      <w:bCs/>
      <w:sz w:val="20"/>
      <w:szCs w:val="20"/>
    </w:rPr>
  </w:style>
  <w:style w:type="table" w:styleId="aff">
    <w:name w:val="Table Grid"/>
    <w:basedOn w:val="a1"/>
    <w:uiPriority w:val="59"/>
    <w:rsid w:val="00E65E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E65EC5"/>
  </w:style>
  <w:style w:type="character" w:customStyle="1" w:styleId="af9">
    <w:name w:val="Абзац списка Знак"/>
    <w:link w:val="af8"/>
    <w:uiPriority w:val="34"/>
    <w:rsid w:val="00E65EC5"/>
    <w:rPr>
      <w:rFonts w:ascii="Calibri" w:eastAsia="Calibri" w:hAnsi="Calibri" w:cs="Calibri"/>
    </w:rPr>
  </w:style>
  <w:style w:type="table" w:customStyle="1" w:styleId="23">
    <w:name w:val="Сетка таблицы2"/>
    <w:basedOn w:val="a1"/>
    <w:next w:val="aff"/>
    <w:uiPriority w:val="59"/>
    <w:rsid w:val="00E65E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59"/>
    <w:rsid w:val="00E65E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ff"/>
    <w:uiPriority w:val="59"/>
    <w:rsid w:val="00E65E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f"/>
    <w:uiPriority w:val="59"/>
    <w:rsid w:val="00E65E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7296&amp;dst=100366" TargetMode="External"/><Relationship Id="rId18" Type="http://schemas.openxmlformats.org/officeDocument/2006/relationships/hyperlink" Target="https://login.consultant.ru/link/?req=doc&amp;base=LAW&amp;n=489041&amp;dst=10000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7296&amp;dst=100366" TargetMode="External"/><Relationship Id="rId17" Type="http://schemas.openxmlformats.org/officeDocument/2006/relationships/hyperlink" Target="https://login.consultant.ru/link/?req=doc&amp;base=LAW&amp;n=507296&amp;dst=10036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89041&amp;dst=1000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B94F-E890-4C49-9ED6-8D7384A7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6337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natasha</cp:lastModifiedBy>
  <cp:revision>3</cp:revision>
  <dcterms:created xsi:type="dcterms:W3CDTF">2026-03-10T05:55:00Z</dcterms:created>
  <dcterms:modified xsi:type="dcterms:W3CDTF">2026-03-19T12:46:00Z</dcterms:modified>
</cp:coreProperties>
</file>